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pPr w:leftFromText="180" w:rightFromText="180" w:vertAnchor="text" w:horzAnchor="margin" w:tblpX="378" w:tblpY="2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3870"/>
        <w:gridCol w:w="2430"/>
        <w:gridCol w:w="3618"/>
      </w:tblGrid>
      <w:tr w:rsidR="00752F8C" w:rsidRPr="005B24B1">
        <w:trPr>
          <w:trHeight w:val="660"/>
        </w:trPr>
        <w:tc>
          <w:tcPr>
            <w:tcW w:w="387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CCCCCC"/>
            <w:vAlign w:val="center"/>
          </w:tcPr>
          <w:p w:rsidR="00752F8C" w:rsidRPr="005B24B1" w:rsidRDefault="00752F8C" w:rsidP="001E3916">
            <w:pPr>
              <w:spacing w:after="0"/>
              <w:jc w:val="center"/>
              <w:rPr>
                <w:rFonts w:ascii="Cambria" w:hAnsi="Cambria"/>
                <w:b/>
                <w:sz w:val="36"/>
              </w:rPr>
            </w:pPr>
            <w:r>
              <w:rPr>
                <w:rFonts w:ascii="Cambria" w:hAnsi="Cambria"/>
                <w:b/>
                <w:sz w:val="36"/>
              </w:rPr>
              <w:t>Environments</w:t>
            </w:r>
          </w:p>
        </w:tc>
        <w:tc>
          <w:tcPr>
            <w:tcW w:w="2430" w:type="dxa"/>
            <w:tcBorders>
              <w:top w:val="single" w:sz="24" w:space="0" w:color="000000"/>
              <w:left w:val="single" w:sz="24" w:space="0" w:color="000000"/>
              <w:bottom w:val="nil"/>
              <w:right w:val="nil"/>
            </w:tcBorders>
          </w:tcPr>
          <w:p w:rsidR="00752F8C" w:rsidRPr="005B24B1" w:rsidRDefault="00752F8C" w:rsidP="001E3916">
            <w:pPr>
              <w:spacing w:after="0"/>
              <w:jc w:val="right"/>
              <w:rPr>
                <w:rFonts w:ascii="Cambria" w:hAnsi="Cambria"/>
                <w:b/>
              </w:rPr>
            </w:pPr>
            <w:r w:rsidRPr="005B24B1">
              <w:rPr>
                <w:rFonts w:ascii="Cambria" w:hAnsi="Cambria"/>
                <w:b/>
              </w:rPr>
              <w:t xml:space="preserve">Investigation </w:t>
            </w:r>
            <w:r>
              <w:rPr>
                <w:rFonts w:ascii="Cambria" w:hAnsi="Cambria"/>
                <w:b/>
              </w:rPr>
              <w:t>1</w:t>
            </w:r>
            <w:r w:rsidRPr="005B24B1">
              <w:rPr>
                <w:rFonts w:ascii="Cambria" w:hAnsi="Cambria"/>
                <w:b/>
              </w:rPr>
              <w:t>:</w:t>
            </w:r>
          </w:p>
        </w:tc>
        <w:tc>
          <w:tcPr>
            <w:tcW w:w="3618" w:type="dxa"/>
            <w:tcBorders>
              <w:top w:val="single" w:sz="24" w:space="0" w:color="000000"/>
              <w:left w:val="nil"/>
              <w:bottom w:val="nil"/>
              <w:right w:val="nil"/>
            </w:tcBorders>
          </w:tcPr>
          <w:p w:rsidR="00752F8C" w:rsidRPr="005B24B1" w:rsidRDefault="00752F8C" w:rsidP="001E3916">
            <w:pPr>
              <w:spacing w:after="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Terrestrial Environments</w:t>
            </w:r>
          </w:p>
        </w:tc>
      </w:tr>
    </w:tbl>
    <w:p w:rsidR="00752F8C" w:rsidRPr="005B24B1" w:rsidRDefault="00752F8C" w:rsidP="001E3916">
      <w:pPr>
        <w:spacing w:after="0"/>
        <w:jc w:val="both"/>
        <w:rPr>
          <w:rFonts w:ascii="Calibri" w:hAnsi="Calibri"/>
          <w:sz w:val="20"/>
          <w:szCs w:val="20"/>
        </w:rPr>
      </w:pPr>
    </w:p>
    <w:p w:rsidR="00752F8C" w:rsidRDefault="00752F8C" w:rsidP="001E3916">
      <w:pPr>
        <w:spacing w:after="0"/>
        <w:ind w:left="360"/>
        <w:rPr>
          <w:rFonts w:ascii="Calibri" w:hAnsi="Calibri"/>
          <w:b/>
          <w:sz w:val="20"/>
          <w:szCs w:val="20"/>
        </w:rPr>
      </w:pPr>
    </w:p>
    <w:p w:rsidR="00752F8C" w:rsidRDefault="00752F8C" w:rsidP="001E3916">
      <w:pPr>
        <w:spacing w:after="0"/>
        <w:ind w:left="360"/>
        <w:rPr>
          <w:rFonts w:ascii="Calibri" w:hAnsi="Calibri"/>
          <w:b/>
          <w:sz w:val="20"/>
          <w:szCs w:val="20"/>
        </w:rPr>
      </w:pPr>
    </w:p>
    <w:p w:rsidR="00752F8C" w:rsidRDefault="00752F8C" w:rsidP="001E3916">
      <w:pPr>
        <w:spacing w:after="0"/>
        <w:rPr>
          <w:rFonts w:ascii="Calibri" w:hAnsi="Calibri"/>
          <w:b/>
          <w:sz w:val="20"/>
          <w:szCs w:val="20"/>
        </w:rPr>
      </w:pPr>
    </w:p>
    <w:tbl>
      <w:tblPr>
        <w:tblW w:w="0" w:type="auto"/>
        <w:tblInd w:w="360" w:type="dxa"/>
        <w:tblLook w:val="00A0"/>
      </w:tblPr>
      <w:tblGrid>
        <w:gridCol w:w="9918"/>
      </w:tblGrid>
      <w:tr w:rsidR="00752F8C" w:rsidRPr="005B24B1">
        <w:tc>
          <w:tcPr>
            <w:tcW w:w="9918" w:type="dxa"/>
          </w:tcPr>
          <w:p w:rsidR="00752F8C" w:rsidRPr="005B24B1" w:rsidRDefault="00752F8C" w:rsidP="001E3916">
            <w:pPr>
              <w:spacing w:after="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How this investigation fits within the Concept and Lesson Map</w:t>
            </w:r>
            <w:proofErr w:type="gramStart"/>
            <w:r>
              <w:rPr>
                <w:rFonts w:ascii="Calibri" w:hAnsi="Calibri"/>
                <w:b/>
                <w:sz w:val="20"/>
                <w:szCs w:val="20"/>
              </w:rPr>
              <w:t>:</w:t>
            </w:r>
            <w:r w:rsidRPr="005B24B1">
              <w:rPr>
                <w:rFonts w:ascii="Calibri" w:hAnsi="Calibri"/>
                <w:sz w:val="20"/>
                <w:szCs w:val="20"/>
              </w:rPr>
              <w:t xml:space="preserve">  </w:t>
            </w:r>
            <w:proofErr w:type="gramEnd"/>
          </w:p>
        </w:tc>
      </w:tr>
      <w:tr w:rsidR="00752F8C" w:rsidRPr="005B24B1">
        <w:tc>
          <w:tcPr>
            <w:tcW w:w="9918" w:type="dxa"/>
          </w:tcPr>
          <w:p w:rsidR="00752F8C" w:rsidRPr="003A5E81" w:rsidRDefault="00752F8C" w:rsidP="001E3916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3A5E81">
              <w:rPr>
                <w:rFonts w:ascii="Calibri" w:hAnsi="Calibri"/>
                <w:sz w:val="20"/>
                <w:szCs w:val="20"/>
              </w:rPr>
              <w:t>This investigation serves as a way to elicit student preconceptions about what living things need to survive.  It is not necessary that all students have the same plan or o</w:t>
            </w:r>
            <w:r>
              <w:rPr>
                <w:rFonts w:ascii="Calibri" w:hAnsi="Calibri"/>
                <w:sz w:val="20"/>
                <w:szCs w:val="20"/>
              </w:rPr>
              <w:t>utcome from this investigation.</w:t>
            </w:r>
            <w:r w:rsidRPr="003A5E81">
              <w:rPr>
                <w:rFonts w:ascii="Calibri" w:hAnsi="Calibri"/>
                <w:sz w:val="20"/>
                <w:szCs w:val="20"/>
              </w:rPr>
              <w:t xml:space="preserve"> There is added value in coming back to this investigation after investigation #3</w:t>
            </w:r>
            <w:r>
              <w:rPr>
                <w:rFonts w:ascii="Calibri" w:hAnsi="Calibri"/>
                <w:sz w:val="20"/>
                <w:szCs w:val="20"/>
              </w:rPr>
              <w:t>, as the terrariums continue to grow as well as the complexity of ideas surrounding the students understanding of environmental factors</w:t>
            </w:r>
            <w:r w:rsidRPr="003A5E81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</w:tbl>
    <w:p w:rsidR="00752F8C" w:rsidRDefault="00752F8C" w:rsidP="000F5D78">
      <w:pPr>
        <w:spacing w:after="0"/>
        <w:jc w:val="both"/>
        <w:rPr>
          <w:rFonts w:ascii="Calibri" w:hAnsi="Calibri"/>
          <w:b/>
          <w:sz w:val="20"/>
          <w:szCs w:val="20"/>
        </w:rPr>
      </w:pPr>
    </w:p>
    <w:tbl>
      <w:tblPr>
        <w:tblW w:w="0" w:type="auto"/>
        <w:tblInd w:w="360" w:type="dxa"/>
        <w:tblLook w:val="00BF"/>
      </w:tblPr>
      <w:tblGrid>
        <w:gridCol w:w="9936"/>
      </w:tblGrid>
      <w:tr w:rsidR="00752F8C" w:rsidRPr="005B24B1">
        <w:tc>
          <w:tcPr>
            <w:tcW w:w="9936" w:type="dxa"/>
          </w:tcPr>
          <w:p w:rsidR="00752F8C" w:rsidRPr="005B24B1" w:rsidRDefault="00752F8C" w:rsidP="006D45A2">
            <w:pPr>
              <w:spacing w:after="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5B24B1">
              <w:rPr>
                <w:rFonts w:ascii="Calibri" w:hAnsi="Calibri"/>
                <w:b/>
                <w:sz w:val="20"/>
                <w:szCs w:val="20"/>
              </w:rPr>
              <w:t>Overarching Question(s) for the Whole Investigation</w:t>
            </w:r>
          </w:p>
        </w:tc>
      </w:tr>
      <w:tr w:rsidR="00752F8C" w:rsidRPr="003A5E81">
        <w:tc>
          <w:tcPr>
            <w:tcW w:w="9936" w:type="dxa"/>
          </w:tcPr>
          <w:p w:rsidR="00752F8C" w:rsidRPr="003A5E81" w:rsidRDefault="00752F8C" w:rsidP="006D45A2">
            <w:pPr>
              <w:pStyle w:val="MediumGrid1-Accent21"/>
              <w:spacing w:after="0"/>
              <w:ind w:left="0"/>
              <w:jc w:val="both"/>
              <w:rPr>
                <w:rFonts w:ascii="Calibri" w:hAnsi="Calibri"/>
                <w:sz w:val="20"/>
                <w:szCs w:val="20"/>
              </w:rPr>
            </w:pPr>
            <w:r w:rsidRPr="003A5E81">
              <w:rPr>
                <w:rFonts w:ascii="Calibri" w:hAnsi="Calibri"/>
                <w:sz w:val="20"/>
                <w:szCs w:val="20"/>
              </w:rPr>
              <w:t>What do plants need to sprout and survive?</w:t>
            </w:r>
          </w:p>
        </w:tc>
      </w:tr>
    </w:tbl>
    <w:p w:rsidR="00752F8C" w:rsidRDefault="00752F8C" w:rsidP="000F5D78">
      <w:pPr>
        <w:spacing w:after="0"/>
        <w:jc w:val="both"/>
        <w:rPr>
          <w:rFonts w:ascii="Calibri" w:hAnsi="Calibri"/>
          <w:b/>
          <w:sz w:val="20"/>
          <w:szCs w:val="20"/>
        </w:rPr>
      </w:pPr>
    </w:p>
    <w:p w:rsidR="00752F8C" w:rsidRDefault="00752F8C" w:rsidP="007C1C01">
      <w:pPr>
        <w:spacing w:after="0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How People Learn #1: Preconceptions</w:t>
      </w:r>
    </w:p>
    <w:tbl>
      <w:tblPr>
        <w:tblW w:w="0" w:type="auto"/>
        <w:tblInd w:w="360" w:type="dxa"/>
        <w:tblLook w:val="00BF"/>
      </w:tblPr>
      <w:tblGrid>
        <w:gridCol w:w="9936"/>
      </w:tblGrid>
      <w:tr w:rsidR="00752F8C" w:rsidRPr="003A5E81">
        <w:tc>
          <w:tcPr>
            <w:tcW w:w="9936" w:type="dxa"/>
          </w:tcPr>
          <w:p w:rsidR="00752F8C" w:rsidRPr="003A5E81" w:rsidRDefault="00752F8C" w:rsidP="007C1C01">
            <w:pPr>
              <w:spacing w:after="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Eliciting Student I</w:t>
            </w:r>
            <w:r w:rsidRPr="003A5E81">
              <w:rPr>
                <w:rFonts w:ascii="Calibri" w:hAnsi="Calibri"/>
                <w:b/>
                <w:sz w:val="20"/>
                <w:szCs w:val="20"/>
              </w:rPr>
              <w:t xml:space="preserve">deas: </w:t>
            </w:r>
          </w:p>
        </w:tc>
      </w:tr>
      <w:tr w:rsidR="00752F8C" w:rsidRPr="003A5E81">
        <w:tc>
          <w:tcPr>
            <w:tcW w:w="9936" w:type="dxa"/>
          </w:tcPr>
          <w:p w:rsidR="00752F8C" w:rsidRPr="001803E3" w:rsidRDefault="00752F8C" w:rsidP="007C1C01">
            <w:pPr>
              <w:numPr>
                <w:ilvl w:val="0"/>
                <w:numId w:val="7"/>
              </w:numPr>
              <w:spacing w:after="0"/>
              <w:ind w:left="360" w:hanging="180"/>
              <w:jc w:val="both"/>
              <w:rPr>
                <w:rFonts w:ascii="Calibri" w:hAnsi="Calibri"/>
                <w:sz w:val="20"/>
                <w:szCs w:val="20"/>
              </w:rPr>
            </w:pPr>
            <w:r w:rsidRPr="003A5E81">
              <w:rPr>
                <w:rFonts w:ascii="Calibri" w:hAnsi="Calibri"/>
                <w:sz w:val="20"/>
                <w:szCs w:val="20"/>
              </w:rPr>
              <w:t>Conversation starter:  “Have you ever tried to keep something alive?”</w:t>
            </w:r>
            <w:r>
              <w:rPr>
                <w:rFonts w:ascii="Calibri" w:hAnsi="Calibri"/>
                <w:sz w:val="20"/>
                <w:szCs w:val="20"/>
              </w:rPr>
              <w:t xml:space="preserve">  (</w:t>
            </w:r>
            <w:r w:rsidRPr="001803E3">
              <w:rPr>
                <w:rFonts w:ascii="Calibri" w:hAnsi="Calibri"/>
                <w:sz w:val="20"/>
                <w:szCs w:val="20"/>
              </w:rPr>
              <w:t xml:space="preserve">Refer to Chapter 5 in </w:t>
            </w:r>
            <w:r w:rsidRPr="001803E3">
              <w:rPr>
                <w:rFonts w:ascii="Calibri" w:hAnsi="Calibri"/>
                <w:sz w:val="20"/>
                <w:szCs w:val="20"/>
                <w:u w:val="single"/>
              </w:rPr>
              <w:t>Ready Set Science</w:t>
            </w:r>
            <w:r w:rsidRPr="001803E3">
              <w:rPr>
                <w:rFonts w:ascii="Calibri" w:hAnsi="Calibri"/>
                <w:sz w:val="20"/>
                <w:szCs w:val="20"/>
              </w:rPr>
              <w:t>, “Making Thinking Visible:  Talk and Argument”</w:t>
            </w:r>
            <w:r>
              <w:rPr>
                <w:rFonts w:ascii="Calibri" w:hAnsi="Calibri"/>
                <w:sz w:val="20"/>
                <w:szCs w:val="20"/>
              </w:rPr>
              <w:t>)</w:t>
            </w:r>
          </w:p>
          <w:p w:rsidR="00752F8C" w:rsidRPr="003A5E81" w:rsidRDefault="00752F8C" w:rsidP="007C1C01">
            <w:pPr>
              <w:numPr>
                <w:ilvl w:val="0"/>
                <w:numId w:val="7"/>
              </w:numPr>
              <w:spacing w:after="0"/>
              <w:ind w:left="360" w:hanging="180"/>
              <w:jc w:val="both"/>
              <w:rPr>
                <w:rFonts w:ascii="Calibri" w:hAnsi="Calibri"/>
                <w:sz w:val="20"/>
                <w:szCs w:val="20"/>
              </w:rPr>
            </w:pPr>
            <w:r w:rsidRPr="003A5E81">
              <w:rPr>
                <w:rFonts w:ascii="Calibri" w:hAnsi="Calibri"/>
                <w:sz w:val="20"/>
                <w:szCs w:val="20"/>
              </w:rPr>
              <w:t>Concept Map:  “Environment”</w:t>
            </w:r>
            <w:r>
              <w:rPr>
                <w:rFonts w:ascii="Calibri" w:hAnsi="Calibri"/>
                <w:sz w:val="20"/>
                <w:szCs w:val="20"/>
              </w:rPr>
              <w:t xml:space="preserve"> - Ask students to pick a terrestrial environment (forest, desert, tundra, mountain, etc.) that is familiar to them. Brainstorm a list of important parts for that environment. Place each part in a circle somewhere on the page and ask students to draw lines to show connections. Label the lines to explain connections. (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see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 xml:space="preserve"> example) </w:t>
            </w:r>
          </w:p>
          <w:p w:rsidR="00752F8C" w:rsidRPr="003A5E81" w:rsidRDefault="00752F8C" w:rsidP="007C1C01">
            <w:pPr>
              <w:numPr>
                <w:ilvl w:val="0"/>
                <w:numId w:val="7"/>
              </w:numPr>
              <w:spacing w:after="0"/>
              <w:ind w:left="360" w:hanging="180"/>
              <w:jc w:val="both"/>
              <w:rPr>
                <w:rFonts w:ascii="Calibri" w:hAnsi="Calibri"/>
                <w:sz w:val="20"/>
                <w:szCs w:val="20"/>
              </w:rPr>
            </w:pPr>
            <w:r w:rsidRPr="003A5E81">
              <w:rPr>
                <w:rFonts w:ascii="Calibri" w:hAnsi="Calibri"/>
                <w:sz w:val="20"/>
                <w:szCs w:val="20"/>
              </w:rPr>
              <w:t xml:space="preserve">Pre Assessment:  Needs of Seeds Formative Assessment from Uncovering Student Ideas in Science Vol. 2 p. 101 Page </w:t>
            </w:r>
            <w:proofErr w:type="spellStart"/>
            <w:r w:rsidRPr="003A5E81">
              <w:rPr>
                <w:rFonts w:ascii="Calibri" w:hAnsi="Calibri"/>
                <w:sz w:val="20"/>
                <w:szCs w:val="20"/>
              </w:rPr>
              <w:t>Keeley</w:t>
            </w:r>
            <w:proofErr w:type="spellEnd"/>
          </w:p>
          <w:p w:rsidR="00752F8C" w:rsidRPr="003A5E81" w:rsidRDefault="00752F8C" w:rsidP="007C1C01">
            <w:pPr>
              <w:numPr>
                <w:ilvl w:val="0"/>
                <w:numId w:val="7"/>
              </w:numPr>
              <w:spacing w:after="0"/>
              <w:ind w:left="360" w:hanging="180"/>
              <w:jc w:val="both"/>
              <w:rPr>
                <w:rFonts w:ascii="Calibri" w:hAnsi="Calibri"/>
                <w:sz w:val="20"/>
                <w:szCs w:val="20"/>
              </w:rPr>
            </w:pPr>
            <w:r w:rsidRPr="003A5E81">
              <w:rPr>
                <w:rFonts w:ascii="Calibri" w:hAnsi="Calibri"/>
                <w:sz w:val="20"/>
                <w:szCs w:val="20"/>
              </w:rPr>
              <w:t>Concept Cartoon:  Seeds in the Dark 6.10 Concept Cartoons in Science Education p. 29 Stuart Naylor and Brenda Keogh.</w:t>
            </w:r>
          </w:p>
        </w:tc>
      </w:tr>
    </w:tbl>
    <w:p w:rsidR="00752F8C" w:rsidRDefault="00752F8C" w:rsidP="007C1C01">
      <w:pPr>
        <w:spacing w:after="0"/>
        <w:jc w:val="both"/>
        <w:rPr>
          <w:rFonts w:ascii="Calibri" w:hAnsi="Calibri"/>
          <w:b/>
          <w:sz w:val="20"/>
          <w:szCs w:val="20"/>
        </w:rPr>
      </w:pPr>
    </w:p>
    <w:tbl>
      <w:tblPr>
        <w:tblW w:w="9900" w:type="dxa"/>
        <w:tblInd w:w="378" w:type="dxa"/>
        <w:tblLook w:val="00BF"/>
      </w:tblPr>
      <w:tblGrid>
        <w:gridCol w:w="9900"/>
      </w:tblGrid>
      <w:tr w:rsidR="00752F8C" w:rsidRPr="003A5E81">
        <w:tc>
          <w:tcPr>
            <w:tcW w:w="9900" w:type="dxa"/>
          </w:tcPr>
          <w:p w:rsidR="00752F8C" w:rsidRPr="003A5E81" w:rsidRDefault="00752F8C" w:rsidP="007C1C01">
            <w:pPr>
              <w:spacing w:after="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3A5E81">
              <w:rPr>
                <w:rFonts w:ascii="Calibri" w:hAnsi="Calibri"/>
                <w:b/>
                <w:sz w:val="20"/>
                <w:szCs w:val="20"/>
              </w:rPr>
              <w:t>Common Student Preconceptions:</w:t>
            </w:r>
          </w:p>
        </w:tc>
      </w:tr>
      <w:tr w:rsidR="00752F8C" w:rsidRPr="003A5E81">
        <w:tc>
          <w:tcPr>
            <w:tcW w:w="9900" w:type="dxa"/>
          </w:tcPr>
          <w:p w:rsidR="00752F8C" w:rsidRPr="003A5E81" w:rsidRDefault="00752F8C" w:rsidP="007C1C01">
            <w:pPr>
              <w:numPr>
                <w:ilvl w:val="0"/>
                <w:numId w:val="2"/>
              </w:numPr>
              <w:spacing w:after="0"/>
              <w:ind w:left="342" w:hanging="180"/>
              <w:jc w:val="both"/>
              <w:rPr>
                <w:rFonts w:ascii="Calibri" w:hAnsi="Calibri"/>
                <w:sz w:val="20"/>
                <w:szCs w:val="20"/>
              </w:rPr>
            </w:pPr>
            <w:r w:rsidRPr="003A5E81">
              <w:rPr>
                <w:rFonts w:ascii="Calibri" w:hAnsi="Calibri"/>
                <w:sz w:val="20"/>
                <w:szCs w:val="20"/>
              </w:rPr>
              <w:t>Some students will believe that plants need light for all parts of their life cycle although seeds in the dark and underground will still sprout.</w:t>
            </w:r>
          </w:p>
          <w:p w:rsidR="00752F8C" w:rsidRPr="003A5E81" w:rsidRDefault="00752F8C" w:rsidP="007C1C01">
            <w:pPr>
              <w:numPr>
                <w:ilvl w:val="0"/>
                <w:numId w:val="2"/>
              </w:numPr>
              <w:spacing w:after="0"/>
              <w:ind w:left="342" w:hanging="180"/>
              <w:jc w:val="both"/>
              <w:rPr>
                <w:rFonts w:ascii="Calibri" w:hAnsi="Calibri"/>
                <w:sz w:val="20"/>
                <w:szCs w:val="20"/>
              </w:rPr>
            </w:pPr>
            <w:r w:rsidRPr="003A5E81">
              <w:rPr>
                <w:rFonts w:ascii="Calibri" w:hAnsi="Calibri"/>
                <w:sz w:val="20"/>
                <w:szCs w:val="20"/>
              </w:rPr>
              <w:t>They might also assume that different plants need the same amounts of water</w:t>
            </w:r>
            <w:r>
              <w:rPr>
                <w:rFonts w:ascii="Calibri" w:hAnsi="Calibri"/>
                <w:sz w:val="20"/>
                <w:szCs w:val="20"/>
              </w:rPr>
              <w:t xml:space="preserve"> and this assumption will influence how much water they choose to use in their terrarium</w:t>
            </w:r>
            <w:r w:rsidRPr="003A5E81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</w:tbl>
    <w:p w:rsidR="00752F8C" w:rsidRDefault="00752F8C" w:rsidP="007C1C01">
      <w:pPr>
        <w:spacing w:after="0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ab/>
      </w:r>
    </w:p>
    <w:p w:rsidR="00752F8C" w:rsidRPr="005B24B1" w:rsidRDefault="00752F8C" w:rsidP="007C1C01">
      <w:pPr>
        <w:spacing w:after="0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How People Learn #2: Facts/Concepts/Knowledge</w:t>
      </w:r>
    </w:p>
    <w:tbl>
      <w:tblPr>
        <w:tblW w:w="0" w:type="auto"/>
        <w:tblInd w:w="360" w:type="dxa"/>
        <w:tblLook w:val="00BF"/>
      </w:tblPr>
      <w:tblGrid>
        <w:gridCol w:w="1368"/>
        <w:gridCol w:w="8568"/>
      </w:tblGrid>
      <w:tr w:rsidR="00752F8C" w:rsidRPr="005B24B1">
        <w:tc>
          <w:tcPr>
            <w:tcW w:w="9936" w:type="dxa"/>
            <w:gridSpan w:val="2"/>
          </w:tcPr>
          <w:p w:rsidR="00752F8C" w:rsidRPr="005B24B1" w:rsidRDefault="00752F8C" w:rsidP="001E3916">
            <w:pPr>
              <w:spacing w:after="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5B24B1">
              <w:rPr>
                <w:rFonts w:ascii="Calibri" w:hAnsi="Calibri"/>
                <w:b/>
                <w:sz w:val="20"/>
                <w:szCs w:val="20"/>
              </w:rPr>
              <w:t>WA State Content Standards “</w:t>
            </w:r>
            <w:r>
              <w:rPr>
                <w:rFonts w:ascii="Calibri" w:hAnsi="Calibri"/>
                <w:b/>
                <w:sz w:val="20"/>
                <w:szCs w:val="20"/>
              </w:rPr>
              <w:t>Science Domains</w:t>
            </w:r>
            <w:r w:rsidRPr="005B24B1">
              <w:rPr>
                <w:rFonts w:ascii="Calibri" w:hAnsi="Calibri"/>
                <w:b/>
                <w:sz w:val="20"/>
                <w:szCs w:val="20"/>
              </w:rPr>
              <w:t>” (EALR 4)</w:t>
            </w:r>
          </w:p>
        </w:tc>
      </w:tr>
      <w:tr w:rsidR="00752F8C" w:rsidRPr="005B24B1">
        <w:tc>
          <w:tcPr>
            <w:tcW w:w="1368" w:type="dxa"/>
          </w:tcPr>
          <w:p w:rsidR="00752F8C" w:rsidRPr="00F3586E" w:rsidRDefault="00752F8C" w:rsidP="001E3916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F3586E">
              <w:rPr>
                <w:rFonts w:ascii="Calibri" w:hAnsi="Calibri"/>
                <w:sz w:val="20"/>
                <w:szCs w:val="20"/>
              </w:rPr>
              <w:t>4-5 LS2A</w:t>
            </w:r>
          </w:p>
        </w:tc>
        <w:tc>
          <w:tcPr>
            <w:tcW w:w="8568" w:type="dxa"/>
          </w:tcPr>
          <w:p w:rsidR="00752F8C" w:rsidRPr="00F3586E" w:rsidRDefault="00752F8C" w:rsidP="001E3916">
            <w:pPr>
              <w:pStyle w:val="MediumGrid1-Accent21"/>
              <w:spacing w:after="0"/>
              <w:ind w:left="0"/>
              <w:jc w:val="both"/>
              <w:rPr>
                <w:rFonts w:ascii="Calibri" w:hAnsi="Calibri"/>
                <w:sz w:val="20"/>
                <w:szCs w:val="20"/>
              </w:rPr>
            </w:pPr>
            <w:r w:rsidRPr="00F3586E">
              <w:rPr>
                <w:rFonts w:ascii="Calibri" w:hAnsi="Calibri"/>
                <w:sz w:val="20"/>
                <w:szCs w:val="20"/>
              </w:rPr>
              <w:t xml:space="preserve">An </w:t>
            </w:r>
            <w:r w:rsidRPr="00F3586E">
              <w:rPr>
                <w:rFonts w:ascii="Calibri" w:hAnsi="Calibri"/>
                <w:i/>
                <w:iCs/>
                <w:sz w:val="20"/>
                <w:szCs w:val="20"/>
              </w:rPr>
              <w:t xml:space="preserve">ecosystem </w:t>
            </w:r>
            <w:r w:rsidRPr="00F3586E">
              <w:rPr>
                <w:rFonts w:ascii="Calibri" w:hAnsi="Calibri"/>
                <w:sz w:val="20"/>
                <w:szCs w:val="20"/>
              </w:rPr>
              <w:t xml:space="preserve">includes all of the plant and animal </w:t>
            </w:r>
            <w:r w:rsidRPr="00F3586E">
              <w:rPr>
                <w:rFonts w:ascii="Calibri" w:hAnsi="Calibri"/>
                <w:i/>
                <w:iCs/>
                <w:sz w:val="20"/>
                <w:szCs w:val="20"/>
              </w:rPr>
              <w:t xml:space="preserve">populations </w:t>
            </w:r>
            <w:r w:rsidRPr="00F3586E">
              <w:rPr>
                <w:rFonts w:ascii="Calibri" w:hAnsi="Calibri"/>
                <w:sz w:val="20"/>
                <w:szCs w:val="20"/>
              </w:rPr>
              <w:t xml:space="preserve">and nonliving resources in a given area. Plants and animals depend on one another and the nonliving resources in their </w:t>
            </w:r>
            <w:r w:rsidRPr="00F3586E">
              <w:rPr>
                <w:rFonts w:ascii="Calibri" w:hAnsi="Calibri"/>
                <w:i/>
                <w:iCs/>
                <w:sz w:val="20"/>
                <w:szCs w:val="20"/>
              </w:rPr>
              <w:t xml:space="preserve">ecosystem </w:t>
            </w:r>
            <w:r w:rsidRPr="00F3586E">
              <w:rPr>
                <w:rFonts w:ascii="Calibri" w:hAnsi="Calibri"/>
                <w:sz w:val="20"/>
                <w:szCs w:val="20"/>
              </w:rPr>
              <w:t xml:space="preserve">to help them survive. </w:t>
            </w:r>
          </w:p>
        </w:tc>
      </w:tr>
      <w:tr w:rsidR="00752F8C" w:rsidRPr="005B24B1">
        <w:tc>
          <w:tcPr>
            <w:tcW w:w="9936" w:type="dxa"/>
            <w:gridSpan w:val="2"/>
          </w:tcPr>
          <w:p w:rsidR="00752F8C" w:rsidRPr="005B24B1" w:rsidRDefault="00752F8C" w:rsidP="001E3916">
            <w:pPr>
              <w:spacing w:after="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5B24B1">
              <w:rPr>
                <w:rFonts w:ascii="Calibri" w:hAnsi="Calibri"/>
                <w:b/>
                <w:sz w:val="20"/>
                <w:szCs w:val="20"/>
              </w:rPr>
              <w:t xml:space="preserve">WA State </w:t>
            </w:r>
            <w:r>
              <w:rPr>
                <w:rFonts w:ascii="Calibri" w:hAnsi="Calibri"/>
                <w:b/>
                <w:sz w:val="20"/>
                <w:szCs w:val="20"/>
              </w:rPr>
              <w:t>Science Standards “Crosscutting Concepts and Abilities”</w:t>
            </w:r>
            <w:r w:rsidRPr="005B24B1">
              <w:rPr>
                <w:rFonts w:ascii="Calibri" w:hAnsi="Calibri"/>
                <w:b/>
                <w:sz w:val="20"/>
                <w:szCs w:val="20"/>
              </w:rPr>
              <w:t xml:space="preserve"> (</w:t>
            </w:r>
            <w:proofErr w:type="spellStart"/>
            <w:r w:rsidRPr="005B24B1">
              <w:rPr>
                <w:rFonts w:ascii="Calibri" w:hAnsi="Calibri"/>
                <w:b/>
                <w:sz w:val="20"/>
                <w:szCs w:val="20"/>
              </w:rPr>
              <w:t>EALR</w:t>
            </w:r>
            <w:r>
              <w:rPr>
                <w:rFonts w:ascii="Calibri" w:hAnsi="Calibri"/>
                <w:b/>
                <w:sz w:val="20"/>
                <w:szCs w:val="20"/>
              </w:rPr>
              <w:t>s</w:t>
            </w:r>
            <w:proofErr w:type="spellEnd"/>
            <w:r w:rsidRPr="005B24B1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>1-3</w:t>
            </w:r>
            <w:r w:rsidRPr="005B24B1">
              <w:rPr>
                <w:rFonts w:ascii="Calibri" w:hAnsi="Calibri"/>
                <w:b/>
                <w:sz w:val="20"/>
                <w:szCs w:val="20"/>
              </w:rPr>
              <w:t>)</w:t>
            </w:r>
          </w:p>
        </w:tc>
      </w:tr>
      <w:tr w:rsidR="00752F8C" w:rsidRPr="005B24B1">
        <w:tc>
          <w:tcPr>
            <w:tcW w:w="1368" w:type="dxa"/>
          </w:tcPr>
          <w:p w:rsidR="00752F8C" w:rsidRPr="00F3586E" w:rsidRDefault="00752F8C" w:rsidP="001E3916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F3586E">
              <w:rPr>
                <w:rFonts w:ascii="Calibri" w:hAnsi="Calibri"/>
                <w:sz w:val="20"/>
                <w:szCs w:val="20"/>
              </w:rPr>
              <w:t>2-3 SYSA</w:t>
            </w:r>
          </w:p>
        </w:tc>
        <w:tc>
          <w:tcPr>
            <w:tcW w:w="8568" w:type="dxa"/>
          </w:tcPr>
          <w:p w:rsidR="00752F8C" w:rsidRPr="00F3586E" w:rsidRDefault="00752F8C" w:rsidP="001E3916">
            <w:pPr>
              <w:pStyle w:val="MediumGrid1-Accent21"/>
              <w:spacing w:after="0"/>
              <w:ind w:left="0"/>
              <w:jc w:val="both"/>
              <w:rPr>
                <w:rFonts w:ascii="Calibri" w:hAnsi="Calibri"/>
                <w:sz w:val="20"/>
                <w:szCs w:val="20"/>
              </w:rPr>
            </w:pPr>
            <w:r w:rsidRPr="00F3586E">
              <w:rPr>
                <w:rFonts w:ascii="Calibri" w:hAnsi="Calibri"/>
                <w:sz w:val="20"/>
                <w:szCs w:val="20"/>
              </w:rPr>
              <w:t>A system is a group of inter</w:t>
            </w:r>
            <w:r>
              <w:rPr>
                <w:rFonts w:ascii="Calibri" w:hAnsi="Calibri"/>
                <w:sz w:val="20"/>
                <w:szCs w:val="20"/>
              </w:rPr>
              <w:t>acting parts that form a whole.</w:t>
            </w:r>
          </w:p>
        </w:tc>
      </w:tr>
    </w:tbl>
    <w:p w:rsidR="00752F8C" w:rsidRPr="005B24B1" w:rsidRDefault="00752F8C" w:rsidP="001E3916">
      <w:pPr>
        <w:spacing w:after="0"/>
        <w:jc w:val="both"/>
        <w:rPr>
          <w:rFonts w:ascii="Calibri" w:hAnsi="Calibri"/>
          <w:sz w:val="20"/>
          <w:szCs w:val="20"/>
        </w:rPr>
      </w:pPr>
    </w:p>
    <w:tbl>
      <w:tblPr>
        <w:tblW w:w="9900" w:type="dxa"/>
        <w:tblInd w:w="378" w:type="dxa"/>
        <w:tblLook w:val="00BF"/>
      </w:tblPr>
      <w:tblGrid>
        <w:gridCol w:w="9900"/>
      </w:tblGrid>
      <w:tr w:rsidR="00752F8C" w:rsidRPr="005B24B1">
        <w:tc>
          <w:tcPr>
            <w:tcW w:w="9900" w:type="dxa"/>
          </w:tcPr>
          <w:p w:rsidR="00752F8C" w:rsidRPr="005B24B1" w:rsidRDefault="00752F8C" w:rsidP="001E3916">
            <w:pPr>
              <w:spacing w:after="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5B24B1">
              <w:rPr>
                <w:rFonts w:ascii="Calibri" w:hAnsi="Calibri"/>
                <w:b/>
                <w:sz w:val="20"/>
                <w:szCs w:val="20"/>
              </w:rPr>
              <w:t>Key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Understandings for the Teacher:</w:t>
            </w:r>
          </w:p>
        </w:tc>
      </w:tr>
      <w:tr w:rsidR="00752F8C" w:rsidRPr="003A5E81">
        <w:tc>
          <w:tcPr>
            <w:tcW w:w="9900" w:type="dxa"/>
          </w:tcPr>
          <w:p w:rsidR="00752F8C" w:rsidRPr="003A5E81" w:rsidRDefault="00752F8C" w:rsidP="001E3916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3A5E81">
              <w:rPr>
                <w:rFonts w:ascii="Calibri" w:hAnsi="Calibri"/>
                <w:sz w:val="20"/>
                <w:szCs w:val="20"/>
              </w:rPr>
              <w:t xml:space="preserve">The terms ecosystem and environment are interchangeable at this level.  WA standards use ecosystem and </w:t>
            </w:r>
            <w:r>
              <w:rPr>
                <w:rFonts w:ascii="Calibri" w:hAnsi="Calibri"/>
                <w:sz w:val="20"/>
                <w:szCs w:val="20"/>
              </w:rPr>
              <w:t>FOSS</w:t>
            </w:r>
            <w:r w:rsidRPr="003A5E81">
              <w:rPr>
                <w:rFonts w:ascii="Calibri" w:hAnsi="Calibri"/>
                <w:sz w:val="20"/>
                <w:szCs w:val="20"/>
              </w:rPr>
              <w:t xml:space="preserve"> uses en</w:t>
            </w:r>
            <w:r>
              <w:rPr>
                <w:rFonts w:ascii="Calibri" w:hAnsi="Calibri"/>
                <w:sz w:val="20"/>
                <w:szCs w:val="20"/>
              </w:rPr>
              <w:t>vironment for the same concept.</w:t>
            </w:r>
            <w:r w:rsidRPr="003A5E81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FOSS uses the term “environments” to lead students to an understanding of “ecosystems.” Both are</w:t>
            </w:r>
            <w:r w:rsidRPr="003A5E81">
              <w:rPr>
                <w:rFonts w:ascii="Calibri" w:hAnsi="Calibri"/>
                <w:sz w:val="20"/>
                <w:szCs w:val="20"/>
              </w:rPr>
              <w:t xml:space="preserve"> composed of the li</w:t>
            </w:r>
            <w:r>
              <w:rPr>
                <w:rFonts w:ascii="Calibri" w:hAnsi="Calibri"/>
                <w:sz w:val="20"/>
                <w:szCs w:val="20"/>
              </w:rPr>
              <w:t>ving and non-living components.</w:t>
            </w:r>
            <w:r w:rsidRPr="003A5E81">
              <w:rPr>
                <w:rFonts w:ascii="Calibri" w:hAnsi="Calibri"/>
                <w:sz w:val="20"/>
                <w:szCs w:val="20"/>
              </w:rPr>
              <w:t xml:space="preserve"> Changes in any compo</w:t>
            </w:r>
            <w:r>
              <w:rPr>
                <w:rFonts w:ascii="Calibri" w:hAnsi="Calibri"/>
                <w:sz w:val="20"/>
                <w:szCs w:val="20"/>
              </w:rPr>
              <w:t>nent will have effects on other components.</w:t>
            </w:r>
          </w:p>
        </w:tc>
      </w:tr>
    </w:tbl>
    <w:p w:rsidR="00752F8C" w:rsidRDefault="00752F8C" w:rsidP="001E3916">
      <w:pPr>
        <w:spacing w:after="0"/>
        <w:jc w:val="both"/>
        <w:rPr>
          <w:rFonts w:ascii="Calibri" w:hAnsi="Calibri"/>
          <w:b/>
          <w:sz w:val="20"/>
          <w:szCs w:val="20"/>
        </w:rPr>
      </w:pPr>
    </w:p>
    <w:p w:rsidR="00752F8C" w:rsidRDefault="00752F8C" w:rsidP="007C1C01">
      <w:pPr>
        <w:spacing w:after="0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How People Learn #3: </w:t>
      </w:r>
      <w:proofErr w:type="spellStart"/>
      <w:r>
        <w:rPr>
          <w:rFonts w:ascii="Calibri" w:hAnsi="Calibri"/>
          <w:b/>
          <w:sz w:val="20"/>
          <w:szCs w:val="20"/>
        </w:rPr>
        <w:t>Metacognition</w:t>
      </w:r>
      <w:proofErr w:type="spellEnd"/>
    </w:p>
    <w:tbl>
      <w:tblPr>
        <w:tblW w:w="0" w:type="auto"/>
        <w:tblInd w:w="360" w:type="dxa"/>
        <w:tblLook w:val="00BF"/>
      </w:tblPr>
      <w:tblGrid>
        <w:gridCol w:w="9936"/>
      </w:tblGrid>
      <w:tr w:rsidR="00752F8C" w:rsidRPr="003A5E81">
        <w:tc>
          <w:tcPr>
            <w:tcW w:w="9936" w:type="dxa"/>
          </w:tcPr>
          <w:p w:rsidR="00752F8C" w:rsidRPr="003A5E81" w:rsidRDefault="00752F8C" w:rsidP="007C1C01">
            <w:pPr>
              <w:spacing w:after="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proofErr w:type="spellStart"/>
            <w:r w:rsidRPr="003A5E81">
              <w:rPr>
                <w:rFonts w:ascii="Calibri" w:hAnsi="Calibri"/>
                <w:b/>
                <w:sz w:val="20"/>
                <w:szCs w:val="20"/>
              </w:rPr>
              <w:t>Metacognition</w:t>
            </w:r>
            <w:proofErr w:type="spellEnd"/>
            <w:r w:rsidRPr="003A5E81">
              <w:rPr>
                <w:rFonts w:ascii="Calibri" w:hAnsi="Calibri"/>
                <w:b/>
                <w:sz w:val="20"/>
                <w:szCs w:val="20"/>
              </w:rPr>
              <w:t>: How did my thinking change? What caused the change? How did I come to believe this?</w:t>
            </w:r>
          </w:p>
        </w:tc>
      </w:tr>
      <w:tr w:rsidR="00752F8C" w:rsidRPr="003A5E81">
        <w:tc>
          <w:tcPr>
            <w:tcW w:w="9936" w:type="dxa"/>
          </w:tcPr>
          <w:p w:rsidR="00752F8C" w:rsidRPr="003A5E81" w:rsidRDefault="00752F8C" w:rsidP="007C1C01">
            <w:pPr>
              <w:pStyle w:val="MediumGrid1-Accent21"/>
              <w:numPr>
                <w:ilvl w:val="0"/>
                <w:numId w:val="4"/>
              </w:numPr>
              <w:spacing w:after="0"/>
              <w:ind w:left="360" w:hanging="180"/>
              <w:jc w:val="both"/>
              <w:rPr>
                <w:rFonts w:ascii="Calibri" w:hAnsi="Calibri"/>
                <w:sz w:val="20"/>
                <w:szCs w:val="20"/>
              </w:rPr>
            </w:pPr>
            <w:r w:rsidRPr="003A5E81">
              <w:rPr>
                <w:rFonts w:ascii="Calibri" w:hAnsi="Calibri"/>
                <w:sz w:val="20"/>
                <w:szCs w:val="20"/>
              </w:rPr>
              <w:t>Revise concept map with new ideas and dates on a periodic basis.</w:t>
            </w:r>
          </w:p>
          <w:p w:rsidR="00752F8C" w:rsidRPr="003A5E81" w:rsidRDefault="00752F8C" w:rsidP="007C1C01">
            <w:pPr>
              <w:pStyle w:val="MediumGrid1-Accent21"/>
              <w:numPr>
                <w:ilvl w:val="0"/>
                <w:numId w:val="4"/>
              </w:numPr>
              <w:spacing w:after="0"/>
              <w:ind w:left="360" w:hanging="180"/>
              <w:jc w:val="both"/>
              <w:rPr>
                <w:rFonts w:ascii="Calibri" w:hAnsi="Calibri"/>
                <w:sz w:val="20"/>
                <w:szCs w:val="20"/>
              </w:rPr>
            </w:pPr>
            <w:r w:rsidRPr="003A5E81">
              <w:rPr>
                <w:rFonts w:ascii="Calibri" w:hAnsi="Calibri"/>
                <w:sz w:val="20"/>
                <w:szCs w:val="20"/>
              </w:rPr>
              <w:t>Coming back to this investigation after lesson 3 and at the end of the unit would help students understand how their ideas have changed over time.</w:t>
            </w:r>
          </w:p>
        </w:tc>
      </w:tr>
    </w:tbl>
    <w:p w:rsidR="00BE7E64" w:rsidRDefault="00945854" w:rsidP="001E3916">
      <w:pPr>
        <w:spacing w:after="0"/>
        <w:jc w:val="both"/>
        <w:rPr>
          <w:rFonts w:ascii="Calibri" w:hAnsi="Calibri"/>
          <w:b/>
          <w:sz w:val="20"/>
          <w:szCs w:val="20"/>
        </w:rPr>
      </w:pPr>
      <w:r w:rsidRPr="001B1229">
        <w:rPr>
          <w:noProof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left:0;text-align:left;margin-left:391.05pt;margin-top:8.2pt;width:126pt;height:17.55pt;z-index:251659264;mso-position-horizontal:absolute;mso-position-horizontal-relative:text;mso-position-vertical:absolute;mso-position-vertical-relative:text">
            <v:textbox style="mso-next-textbox:#_x0000_s1028">
              <w:txbxContent>
                <w:p w:rsidR="00BE7E64" w:rsidRDefault="00BE7E64" w:rsidP="00705D24">
                  <w:pPr>
                    <w:jc w:val="center"/>
                  </w:pPr>
                  <w:r w:rsidRPr="00CB25E8">
                    <w:rPr>
                      <w:b/>
                      <w:sz w:val="16"/>
                      <w:szCs w:val="16"/>
                    </w:rPr>
                    <w:t>Continued on</w:t>
                  </w:r>
                  <w:r>
                    <w:t xml:space="preserve"> </w:t>
                  </w:r>
                  <w:r w:rsidRPr="00CB25E8">
                    <w:rPr>
                      <w:b/>
                      <w:sz w:val="16"/>
                      <w:szCs w:val="16"/>
                    </w:rPr>
                    <w:t>back</w:t>
                  </w:r>
                </w:p>
              </w:txbxContent>
            </v:textbox>
          </v:shape>
        </w:pict>
      </w:r>
    </w:p>
    <w:p w:rsidR="00752F8C" w:rsidRDefault="00752F8C" w:rsidP="001E3916">
      <w:pPr>
        <w:spacing w:after="0"/>
        <w:jc w:val="both"/>
        <w:rPr>
          <w:rFonts w:ascii="Calibri" w:hAnsi="Calibri"/>
          <w:b/>
          <w:sz w:val="20"/>
          <w:szCs w:val="20"/>
        </w:rPr>
      </w:pPr>
    </w:p>
    <w:tbl>
      <w:tblPr>
        <w:tblW w:w="0" w:type="auto"/>
        <w:tblInd w:w="360" w:type="dxa"/>
        <w:tblLook w:val="00BF"/>
      </w:tblPr>
      <w:tblGrid>
        <w:gridCol w:w="9936"/>
      </w:tblGrid>
      <w:tr w:rsidR="00752F8C" w:rsidRPr="003A5E81">
        <w:tc>
          <w:tcPr>
            <w:tcW w:w="9936" w:type="dxa"/>
          </w:tcPr>
          <w:p w:rsidR="00752F8C" w:rsidRPr="003A5E81" w:rsidRDefault="00752F8C" w:rsidP="00BE7E64">
            <w:pPr>
              <w:spacing w:after="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3A5E81">
              <w:rPr>
                <w:rFonts w:ascii="Calibri" w:hAnsi="Calibri"/>
                <w:b/>
                <w:sz w:val="20"/>
                <w:szCs w:val="20"/>
              </w:rPr>
              <w:t>Evidence of Student Understanding:</w:t>
            </w:r>
          </w:p>
        </w:tc>
      </w:tr>
      <w:tr w:rsidR="00752F8C" w:rsidRPr="003A5E81">
        <w:tc>
          <w:tcPr>
            <w:tcW w:w="9936" w:type="dxa"/>
          </w:tcPr>
          <w:p w:rsidR="00752F8C" w:rsidRPr="003A5E81" w:rsidRDefault="00752F8C" w:rsidP="007C1C01">
            <w:pPr>
              <w:pStyle w:val="MediumGrid1-Accent21"/>
              <w:spacing w:after="0"/>
              <w:ind w:left="0"/>
              <w:jc w:val="both"/>
              <w:rPr>
                <w:rFonts w:ascii="Calibri" w:hAnsi="Calibri"/>
                <w:sz w:val="20"/>
                <w:szCs w:val="20"/>
              </w:rPr>
            </w:pPr>
            <w:r w:rsidRPr="003A5E81">
              <w:rPr>
                <w:rFonts w:ascii="Calibri" w:hAnsi="Calibri"/>
                <w:sz w:val="20"/>
                <w:szCs w:val="20"/>
              </w:rPr>
              <w:t>Students should have detailed descriptions and observations</w:t>
            </w:r>
            <w:r>
              <w:rPr>
                <w:rFonts w:ascii="Calibri" w:hAnsi="Calibri"/>
                <w:sz w:val="20"/>
                <w:szCs w:val="20"/>
              </w:rPr>
              <w:t xml:space="preserve"> of</w:t>
            </w:r>
            <w:r w:rsidRPr="003A5E81">
              <w:rPr>
                <w:rFonts w:ascii="Calibri" w:hAnsi="Calibri"/>
                <w:sz w:val="20"/>
                <w:szCs w:val="20"/>
              </w:rPr>
              <w:t xml:space="preserve"> the terrarium environment as it changes over time recorded in their science notebooks.</w:t>
            </w:r>
            <w:r>
              <w:rPr>
                <w:rFonts w:ascii="Calibri" w:hAnsi="Calibri"/>
                <w:sz w:val="20"/>
                <w:szCs w:val="20"/>
              </w:rPr>
              <w:t xml:space="preserve"> Examples of entries could include: drawings of entire terrarium with labels and/or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labeled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drawings of specific parts that have changed over time; growing list of short observational notes with dates/times; written record of amount of water added to terrarium and placement of water.</w:t>
            </w:r>
          </w:p>
        </w:tc>
      </w:tr>
    </w:tbl>
    <w:p w:rsidR="00752F8C" w:rsidRDefault="00752F8C" w:rsidP="001E3916">
      <w:pPr>
        <w:spacing w:after="0"/>
        <w:jc w:val="both"/>
        <w:rPr>
          <w:rFonts w:ascii="Calibri" w:hAnsi="Calibri"/>
          <w:b/>
          <w:sz w:val="20"/>
          <w:szCs w:val="20"/>
        </w:rPr>
      </w:pPr>
    </w:p>
    <w:p w:rsidR="00752F8C" w:rsidRDefault="00752F8C" w:rsidP="001E3916">
      <w:pPr>
        <w:spacing w:after="0"/>
        <w:jc w:val="both"/>
        <w:rPr>
          <w:rFonts w:ascii="Calibri" w:hAnsi="Calibri"/>
          <w:b/>
          <w:sz w:val="20"/>
          <w:szCs w:val="20"/>
        </w:rPr>
      </w:pPr>
    </w:p>
    <w:p w:rsidR="00752F8C" w:rsidRPr="003A5E81" w:rsidRDefault="00752F8C" w:rsidP="001E3916">
      <w:pPr>
        <w:spacing w:after="0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____________________________________________________________________________________________________________</w:t>
      </w:r>
    </w:p>
    <w:p w:rsidR="00752F8C" w:rsidRPr="005B24B1" w:rsidRDefault="00752F8C" w:rsidP="001E3916">
      <w:pPr>
        <w:spacing w:after="0"/>
        <w:jc w:val="both"/>
        <w:rPr>
          <w:rFonts w:ascii="Calibri" w:hAnsi="Calibri"/>
          <w:b/>
          <w:sz w:val="20"/>
          <w:szCs w:val="20"/>
        </w:rPr>
      </w:pPr>
    </w:p>
    <w:p w:rsidR="00752F8C" w:rsidRPr="000F5D78" w:rsidRDefault="00752F8C" w:rsidP="000F5D78">
      <w:pPr>
        <w:spacing w:after="0"/>
        <w:jc w:val="center"/>
        <w:rPr>
          <w:rFonts w:ascii="Calibri" w:hAnsi="Calibri"/>
          <w:b/>
          <w:u w:val="single"/>
        </w:rPr>
      </w:pPr>
      <w:r w:rsidRPr="000F5D78">
        <w:rPr>
          <w:rFonts w:ascii="Calibri" w:hAnsi="Calibri"/>
          <w:b/>
          <w:u w:val="single"/>
        </w:rPr>
        <w:t>Additional Information</w:t>
      </w:r>
    </w:p>
    <w:tbl>
      <w:tblPr>
        <w:tblW w:w="0" w:type="auto"/>
        <w:tblInd w:w="360" w:type="dxa"/>
        <w:tblLook w:val="00BF"/>
      </w:tblPr>
      <w:tblGrid>
        <w:gridCol w:w="9936"/>
      </w:tblGrid>
      <w:tr w:rsidR="00752F8C" w:rsidRPr="003A5E81">
        <w:tc>
          <w:tcPr>
            <w:tcW w:w="9936" w:type="dxa"/>
          </w:tcPr>
          <w:p w:rsidR="00752F8C" w:rsidRPr="003A5E81" w:rsidRDefault="00752F8C" w:rsidP="001E3916">
            <w:pPr>
              <w:spacing w:after="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3A5E81">
              <w:rPr>
                <w:rFonts w:ascii="Calibri" w:hAnsi="Calibri"/>
                <w:b/>
                <w:sz w:val="20"/>
                <w:szCs w:val="20"/>
              </w:rPr>
              <w:t>Materials and Student Management</w:t>
            </w:r>
          </w:p>
        </w:tc>
      </w:tr>
      <w:tr w:rsidR="00752F8C" w:rsidRPr="003A5E81">
        <w:tc>
          <w:tcPr>
            <w:tcW w:w="9936" w:type="dxa"/>
          </w:tcPr>
          <w:p w:rsidR="00752F8C" w:rsidRDefault="00752F8C" w:rsidP="001E3916">
            <w:pPr>
              <w:pStyle w:val="MediumGrid1-Accent21"/>
              <w:numPr>
                <w:ilvl w:val="0"/>
                <w:numId w:val="6"/>
              </w:numPr>
              <w:spacing w:after="0"/>
              <w:ind w:left="360" w:hanging="18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Make sure you have ordered your organisms for investigations 2 and 4 as these can sometimes take 4-6 weeks for delivery. Contact Linda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Pollino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for an 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organisms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 xml:space="preserve"> card.  You will need to call Delta Education with card information.</w:t>
            </w:r>
          </w:p>
          <w:p w:rsidR="00752F8C" w:rsidRPr="003A5E81" w:rsidRDefault="00752F8C" w:rsidP="001E3916">
            <w:pPr>
              <w:pStyle w:val="MediumGrid1-Accent21"/>
              <w:numPr>
                <w:ilvl w:val="0"/>
                <w:numId w:val="6"/>
              </w:numPr>
              <w:spacing w:after="0"/>
              <w:ind w:left="360" w:hanging="180"/>
              <w:jc w:val="both"/>
              <w:rPr>
                <w:rFonts w:ascii="Calibri" w:hAnsi="Calibri"/>
                <w:sz w:val="20"/>
                <w:szCs w:val="20"/>
              </w:rPr>
            </w:pPr>
            <w:r w:rsidRPr="003A5E81">
              <w:rPr>
                <w:rFonts w:ascii="Calibri" w:hAnsi="Calibri"/>
                <w:sz w:val="20"/>
                <w:szCs w:val="20"/>
              </w:rPr>
              <w:t>Barley has a narrow range of tolerance for moisture, as it prefers</w:t>
            </w:r>
            <w:r>
              <w:rPr>
                <w:rFonts w:ascii="Calibri" w:hAnsi="Calibri"/>
                <w:sz w:val="20"/>
                <w:szCs w:val="20"/>
              </w:rPr>
              <w:t xml:space="preserve"> a moist/dry environment.</w:t>
            </w:r>
          </w:p>
          <w:p w:rsidR="00752F8C" w:rsidRPr="003A5E81" w:rsidRDefault="00752F8C" w:rsidP="001E3916">
            <w:pPr>
              <w:pStyle w:val="MediumGrid1-Accent21"/>
              <w:numPr>
                <w:ilvl w:val="0"/>
                <w:numId w:val="6"/>
              </w:numPr>
              <w:spacing w:after="0"/>
              <w:ind w:left="360" w:hanging="180"/>
              <w:jc w:val="both"/>
              <w:rPr>
                <w:rFonts w:ascii="Calibri" w:hAnsi="Calibri"/>
                <w:sz w:val="20"/>
                <w:szCs w:val="20"/>
              </w:rPr>
            </w:pPr>
            <w:r w:rsidRPr="003A5E81">
              <w:rPr>
                <w:rFonts w:ascii="Calibri" w:hAnsi="Calibri"/>
                <w:sz w:val="20"/>
                <w:szCs w:val="20"/>
              </w:rPr>
              <w:t>It is okay to let students make their own choices even if it may not “work”</w:t>
            </w:r>
          </w:p>
        </w:tc>
      </w:tr>
    </w:tbl>
    <w:p w:rsidR="00752F8C" w:rsidRPr="003A5E81" w:rsidRDefault="00752F8C" w:rsidP="001E3916">
      <w:pPr>
        <w:spacing w:after="0"/>
        <w:jc w:val="both"/>
        <w:rPr>
          <w:rFonts w:ascii="Calibri" w:hAnsi="Calibri"/>
          <w:sz w:val="20"/>
          <w:szCs w:val="20"/>
        </w:rPr>
      </w:pPr>
    </w:p>
    <w:tbl>
      <w:tblPr>
        <w:tblW w:w="0" w:type="auto"/>
        <w:tblInd w:w="360" w:type="dxa"/>
        <w:tblLook w:val="00BF"/>
      </w:tblPr>
      <w:tblGrid>
        <w:gridCol w:w="9936"/>
      </w:tblGrid>
      <w:tr w:rsidR="00752F8C" w:rsidRPr="003A5E81">
        <w:tc>
          <w:tcPr>
            <w:tcW w:w="9936" w:type="dxa"/>
          </w:tcPr>
          <w:p w:rsidR="00752F8C" w:rsidRPr="003A5E81" w:rsidRDefault="00752F8C" w:rsidP="001E3916">
            <w:pPr>
              <w:spacing w:after="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3A5E81">
              <w:rPr>
                <w:rFonts w:ascii="Calibri" w:hAnsi="Calibri"/>
                <w:b/>
                <w:sz w:val="20"/>
                <w:szCs w:val="20"/>
              </w:rPr>
              <w:t>Timing Considerations</w:t>
            </w:r>
          </w:p>
        </w:tc>
      </w:tr>
      <w:tr w:rsidR="00752F8C" w:rsidRPr="003A5E81">
        <w:tc>
          <w:tcPr>
            <w:tcW w:w="9936" w:type="dxa"/>
          </w:tcPr>
          <w:p w:rsidR="00752F8C" w:rsidRDefault="00752F8C" w:rsidP="001E3916">
            <w:pPr>
              <w:pStyle w:val="MediumGrid1-Accent21"/>
              <w:numPr>
                <w:ilvl w:val="0"/>
                <w:numId w:val="8"/>
              </w:numPr>
              <w:spacing w:after="0"/>
              <w:ind w:left="360" w:hanging="180"/>
              <w:jc w:val="both"/>
              <w:rPr>
                <w:rFonts w:ascii="Calibri" w:hAnsi="Calibri"/>
                <w:sz w:val="20"/>
                <w:szCs w:val="20"/>
              </w:rPr>
            </w:pPr>
            <w:r w:rsidRPr="003A5E81">
              <w:rPr>
                <w:rFonts w:ascii="Calibri" w:hAnsi="Calibri"/>
                <w:sz w:val="20"/>
                <w:szCs w:val="20"/>
              </w:rPr>
              <w:t xml:space="preserve">Keep in mind that the terrariums are used for approximately one month as students do investigations 2 and 3.  Students will need time periodically to observe, record, and possibly alter their terrarium environments. </w:t>
            </w:r>
          </w:p>
          <w:p w:rsidR="00752F8C" w:rsidRPr="000F5D78" w:rsidRDefault="00752F8C" w:rsidP="000F5D78">
            <w:pPr>
              <w:pStyle w:val="MediumGrid1-Accent21"/>
              <w:numPr>
                <w:ilvl w:val="0"/>
                <w:numId w:val="8"/>
              </w:numPr>
              <w:spacing w:after="0"/>
              <w:ind w:left="360" w:hanging="18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The FOSS Overview folio suggests a minimum of 10 weeks to complete the investigations for the Environments Module. When a teacher embeds important elicitation,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metacognition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, technology and formative assessment strategies to improve student understandings the module will take longer to complete.</w:t>
            </w:r>
          </w:p>
        </w:tc>
      </w:tr>
    </w:tbl>
    <w:p w:rsidR="00752F8C" w:rsidRPr="003A5E81" w:rsidRDefault="00752F8C" w:rsidP="001E3916">
      <w:pPr>
        <w:spacing w:after="0"/>
        <w:jc w:val="both"/>
        <w:rPr>
          <w:rFonts w:ascii="Calibri" w:hAnsi="Calibri"/>
          <w:b/>
          <w:sz w:val="20"/>
          <w:szCs w:val="20"/>
        </w:rPr>
      </w:pPr>
    </w:p>
    <w:tbl>
      <w:tblPr>
        <w:tblW w:w="0" w:type="auto"/>
        <w:tblInd w:w="360" w:type="dxa"/>
        <w:tblLook w:val="00BF"/>
      </w:tblPr>
      <w:tblGrid>
        <w:gridCol w:w="9936"/>
      </w:tblGrid>
      <w:tr w:rsidR="00752F8C" w:rsidRPr="003A5E81">
        <w:tc>
          <w:tcPr>
            <w:tcW w:w="9936" w:type="dxa"/>
          </w:tcPr>
          <w:p w:rsidR="00752F8C" w:rsidRPr="003A5E81" w:rsidRDefault="00752F8C" w:rsidP="001E3916">
            <w:pPr>
              <w:spacing w:after="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3A5E81">
              <w:rPr>
                <w:rFonts w:ascii="Calibri" w:hAnsi="Calibri"/>
                <w:b/>
                <w:sz w:val="20"/>
                <w:szCs w:val="20"/>
              </w:rPr>
              <w:t>Helpful Resources and Bibliography:</w:t>
            </w:r>
          </w:p>
        </w:tc>
      </w:tr>
      <w:tr w:rsidR="00752F8C" w:rsidRPr="003A5E81">
        <w:tc>
          <w:tcPr>
            <w:tcW w:w="9936" w:type="dxa"/>
          </w:tcPr>
          <w:p w:rsidR="00752F8C" w:rsidRDefault="00752F8C" w:rsidP="001E3916">
            <w:pPr>
              <w:pStyle w:val="MediumGrid1-Accent21"/>
              <w:numPr>
                <w:ilvl w:val="0"/>
                <w:numId w:val="3"/>
              </w:numPr>
              <w:spacing w:after="0"/>
              <w:ind w:left="360" w:hanging="18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Washington Edition: Assessment Environments, Grade 5 Version (Updated formative assessment packet, 2006)</w:t>
            </w:r>
          </w:p>
          <w:p w:rsidR="00752F8C" w:rsidRPr="003A5E81" w:rsidRDefault="00752F8C" w:rsidP="001E3916">
            <w:pPr>
              <w:pStyle w:val="MediumGrid1-Accent21"/>
              <w:numPr>
                <w:ilvl w:val="0"/>
                <w:numId w:val="3"/>
              </w:numPr>
              <w:spacing w:after="0"/>
              <w:ind w:left="360" w:hanging="180"/>
              <w:jc w:val="both"/>
              <w:rPr>
                <w:rFonts w:ascii="Calibri" w:hAnsi="Calibri"/>
                <w:sz w:val="20"/>
                <w:szCs w:val="20"/>
              </w:rPr>
            </w:pPr>
            <w:r w:rsidRPr="00AC6A20">
              <w:rPr>
                <w:rFonts w:ascii="Calibri" w:hAnsi="Calibri"/>
                <w:sz w:val="20"/>
                <w:szCs w:val="20"/>
              </w:rPr>
              <w:t>Concept Cartoons</w:t>
            </w:r>
            <w:r>
              <w:rPr>
                <w:rFonts w:ascii="Calibri" w:hAnsi="Calibri"/>
                <w:sz w:val="20"/>
                <w:szCs w:val="20"/>
              </w:rPr>
              <w:t xml:space="preserve"> in Science Education (Naylor and </w:t>
            </w:r>
            <w:r w:rsidRPr="00AC6A20">
              <w:rPr>
                <w:rFonts w:ascii="Calibri" w:hAnsi="Calibri"/>
                <w:sz w:val="20"/>
                <w:szCs w:val="20"/>
              </w:rPr>
              <w:t>Keogh</w:t>
            </w:r>
            <w:r>
              <w:rPr>
                <w:rFonts w:ascii="Calibri" w:hAnsi="Calibri"/>
                <w:sz w:val="20"/>
                <w:szCs w:val="20"/>
              </w:rPr>
              <w:t>, 2000)</w:t>
            </w:r>
          </w:p>
          <w:p w:rsidR="00752F8C" w:rsidRPr="003A5E81" w:rsidRDefault="00752F8C" w:rsidP="001E3916">
            <w:pPr>
              <w:pStyle w:val="MediumGrid1-Accent21"/>
              <w:numPr>
                <w:ilvl w:val="0"/>
                <w:numId w:val="3"/>
              </w:numPr>
              <w:spacing w:after="0"/>
              <w:ind w:left="360" w:hanging="18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Uncovering </w:t>
            </w:r>
            <w:r w:rsidRPr="003A5E81">
              <w:rPr>
                <w:rFonts w:ascii="Calibri" w:hAnsi="Calibri"/>
                <w:sz w:val="20"/>
                <w:szCs w:val="20"/>
              </w:rPr>
              <w:t>Student Ideas in Science</w:t>
            </w:r>
            <w:r>
              <w:rPr>
                <w:rFonts w:ascii="Calibri" w:hAnsi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Keeley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Eberle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Tugel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, 2007)</w:t>
            </w:r>
          </w:p>
          <w:p w:rsidR="00752F8C" w:rsidRPr="003A5E81" w:rsidRDefault="00752F8C" w:rsidP="001E3916">
            <w:pPr>
              <w:pStyle w:val="MediumGrid1-Accent21"/>
              <w:numPr>
                <w:ilvl w:val="0"/>
                <w:numId w:val="3"/>
              </w:numPr>
              <w:spacing w:after="0"/>
              <w:ind w:left="360" w:hanging="18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Science Curriculum Topic Study: Ecosystems, pg. 127 (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Keeley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, 2005)</w:t>
            </w:r>
          </w:p>
          <w:p w:rsidR="00752F8C" w:rsidRPr="003A5E81" w:rsidRDefault="00752F8C" w:rsidP="001E3916">
            <w:pPr>
              <w:pStyle w:val="MediumGrid1-Accent21"/>
              <w:numPr>
                <w:ilvl w:val="0"/>
                <w:numId w:val="3"/>
              </w:numPr>
              <w:spacing w:after="0"/>
              <w:ind w:left="360" w:hanging="18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Atlas of Science Literacy, V2</w:t>
            </w:r>
            <w:r w:rsidRPr="00225B3D">
              <w:rPr>
                <w:rFonts w:ascii="Calibri" w:hAnsi="Calibri"/>
                <w:sz w:val="20"/>
                <w:szCs w:val="20"/>
              </w:rPr>
              <w:t xml:space="preserve">. </w:t>
            </w:r>
            <w:r>
              <w:rPr>
                <w:rFonts w:ascii="Calibri" w:hAnsi="Calibri"/>
                <w:sz w:val="20"/>
                <w:szCs w:val="20"/>
              </w:rPr>
              <w:t>(</w:t>
            </w:r>
            <w:r w:rsidRPr="00225B3D">
              <w:rPr>
                <w:rFonts w:ascii="Calibri" w:hAnsi="Calibri"/>
                <w:sz w:val="20"/>
                <w:szCs w:val="20"/>
              </w:rPr>
              <w:t>American Association for Advancement of Science</w:t>
            </w:r>
            <w:r>
              <w:rPr>
                <w:rFonts w:ascii="Calibri" w:hAnsi="Calibri"/>
                <w:sz w:val="20"/>
                <w:szCs w:val="20"/>
              </w:rPr>
              <w:t>, 2007)</w:t>
            </w:r>
          </w:p>
          <w:p w:rsidR="00752F8C" w:rsidRPr="003A5E81" w:rsidRDefault="00752F8C" w:rsidP="001E3916">
            <w:pPr>
              <w:pStyle w:val="MediumGrid1-Accent21"/>
              <w:numPr>
                <w:ilvl w:val="0"/>
                <w:numId w:val="3"/>
              </w:numPr>
              <w:spacing w:after="0"/>
              <w:ind w:left="360" w:hanging="180"/>
              <w:jc w:val="both"/>
              <w:rPr>
                <w:rFonts w:ascii="Calibri" w:hAnsi="Calibri"/>
                <w:sz w:val="20"/>
                <w:szCs w:val="20"/>
              </w:rPr>
            </w:pPr>
            <w:r w:rsidRPr="003A5E81">
              <w:rPr>
                <w:rFonts w:ascii="Calibri" w:hAnsi="Calibri"/>
                <w:sz w:val="20"/>
                <w:szCs w:val="20"/>
              </w:rPr>
              <w:t>Ready Set Science</w:t>
            </w:r>
            <w:r>
              <w:rPr>
                <w:rFonts w:ascii="Calibri" w:hAnsi="Calibri"/>
                <w:sz w:val="20"/>
                <w:szCs w:val="20"/>
              </w:rPr>
              <w:t xml:space="preserve"> (Michaels,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Shouse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Schweingruber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, 2008)</w:t>
            </w:r>
          </w:p>
        </w:tc>
      </w:tr>
    </w:tbl>
    <w:p w:rsidR="00752F8C" w:rsidRPr="003A5E81" w:rsidRDefault="00752F8C" w:rsidP="001E3916">
      <w:pPr>
        <w:spacing w:after="0"/>
        <w:rPr>
          <w:rFonts w:ascii="Calibri" w:hAnsi="Calibri"/>
          <w:sz w:val="20"/>
          <w:szCs w:val="20"/>
        </w:rPr>
      </w:pPr>
    </w:p>
    <w:sectPr w:rsidR="00752F8C" w:rsidRPr="003A5E81" w:rsidSect="001E3916">
      <w:headerReference w:type="default" r:id="rId7"/>
      <w:pgSz w:w="12240" w:h="15840"/>
      <w:pgMar w:top="720" w:right="720" w:bottom="720" w:left="72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E64" w:rsidRDefault="00BE7E64" w:rsidP="00583FE3">
      <w:pPr>
        <w:spacing w:after="0"/>
      </w:pPr>
      <w:r>
        <w:separator/>
      </w:r>
    </w:p>
  </w:endnote>
  <w:endnote w:type="continuationSeparator" w:id="0">
    <w:p w:rsidR="00BE7E64" w:rsidRDefault="00BE7E64" w:rsidP="00583FE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E64" w:rsidRDefault="00BE7E64" w:rsidP="00583FE3">
      <w:pPr>
        <w:spacing w:after="0"/>
      </w:pPr>
      <w:r>
        <w:separator/>
      </w:r>
    </w:p>
  </w:footnote>
  <w:footnote w:type="continuationSeparator" w:id="0">
    <w:p w:rsidR="00BE7E64" w:rsidRDefault="00BE7E64" w:rsidP="00583FE3">
      <w:pPr>
        <w:spacing w:after="0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E64" w:rsidRDefault="00945854">
    <w:pPr>
      <w:pStyle w:val="Header"/>
    </w:pPr>
    <w:r>
      <w:rPr>
        <w:noProof/>
        <w:lang w:val="en-US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52" type="#_x0000_t202" style="position:absolute;margin-left:-4.95pt;margin-top:-7.6pt;width:180pt;height:58.9pt;z-index:251661312;mso-wrap-edited:f;mso-position-horizontal:absolute;mso-position-horizontal-relative:text;mso-position-vertical:absolute;mso-position-vertical-relative:text" wrapcoords="0 0 21600 0 21600 21600 0 21600 0 0" filled="f" stroked="f">
          <v:textbox style="mso-next-textbox:#_x0000_s2052">
            <w:txbxContent>
              <w:p w:rsidR="00945854" w:rsidRPr="002F17D3" w:rsidRDefault="00945854" w:rsidP="00945854">
                <w:pPr>
                  <w:jc w:val="center"/>
                  <w:rPr>
                    <w:rFonts w:ascii="Times New Roman" w:hAnsi="Times New Roman"/>
                    <w:b/>
                    <w:sz w:val="48"/>
                    <w:szCs w:val="96"/>
                  </w:rPr>
                </w:pPr>
                <w:r w:rsidRPr="00143F88">
                  <w:rPr>
                    <w:rFonts w:ascii="Times New Roman" w:hAnsi="Times New Roman"/>
                    <w:b/>
                    <w:sz w:val="48"/>
                    <w:szCs w:val="96"/>
                  </w:rPr>
                  <w:t>Teacher Tips</w:t>
                </w:r>
                <w:r>
                  <w:rPr>
                    <w:rFonts w:ascii="Times New Roman" w:hAnsi="Times New Roman"/>
                    <w:b/>
                    <w:sz w:val="48"/>
                    <w:szCs w:val="96"/>
                  </w:rPr>
                  <w:t xml:space="preserve"> </w:t>
                </w:r>
                <w:r w:rsidRPr="00143F88">
                  <w:rPr>
                    <w:rFonts w:ascii="Times New Roman" w:hAnsi="Times New Roman"/>
                    <w:b/>
                    <w:sz w:val="32"/>
                    <w:szCs w:val="96"/>
                  </w:rPr>
                  <w:t>Version 1.0</w:t>
                </w:r>
              </w:p>
            </w:txbxContent>
          </v:textbox>
          <w10:wrap type="tight"/>
        </v:shape>
      </w:pict>
    </w:r>
    <w:r w:rsidR="00BE7E64">
      <w:rPr>
        <w:noProof/>
        <w:lang w:val="en-US"/>
      </w:rPr>
      <w:t xml:space="preserve">                                                    </w:t>
    </w:r>
    <w:r w:rsidR="001B1229">
      <w:rPr>
        <w:noProof/>
        <w:lang w:val="en-US"/>
      </w:rPr>
      <w:pict>
        <v:shape id="_x0000_s2049" type="#_x0000_t202" style="position:absolute;margin-left:364.05pt;margin-top:.2pt;width:178.55pt;height:61.35pt;z-index:251660288;mso-position-horizontal-relative:text;mso-position-vertical-relative:text" stroked="f">
          <v:textbox>
            <w:txbxContent>
              <w:p w:rsidR="00BE7E64" w:rsidRDefault="00BE7E64">
                <w:r>
                  <w:rPr>
                    <w:noProof/>
                    <w:lang w:val="en-US"/>
                  </w:rPr>
                  <w:drawing>
                    <wp:inline distT="0" distB="0" distL="0" distR="0">
                      <wp:extent cx="1883009" cy="639691"/>
                      <wp:effectExtent l="25400" t="0" r="0" b="0"/>
                      <wp:docPr id="2" name="Pictur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098" name="Picture 2"/>
                              <pic:cNvPicPr>
                                <a:picLocks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83009" cy="63969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2700" dir="2700000" algn="ctr" rotWithShape="0">
                                  <a:schemeClr val="bg2">
                                    <a:alpha val="75000"/>
                                  </a:scheme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BE7E64">
      <w:rPr>
        <w:noProof/>
        <w:lang w:val="en-US"/>
      </w:rPr>
      <w:drawing>
        <wp:inline distT="0" distB="0" distL="0" distR="0">
          <wp:extent cx="1076325" cy="462915"/>
          <wp:effectExtent l="25400" t="0" r="0" b="0"/>
          <wp:docPr id="3" name="Picture 1" descr="http://www.bham.wednet.edu/images/BSDlogo-tran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bham.wednet.edu/images/BSDlogo-trans.g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4629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E7E64">
      <w:rPr>
        <w:noProof/>
        <w:lang w:val="en-US"/>
      </w:rPr>
      <w:drawing>
        <wp:inline distT="0" distB="0" distL="0" distR="0">
          <wp:extent cx="761246" cy="666200"/>
          <wp:effectExtent l="25400" t="0" r="754" b="0"/>
          <wp:docPr id="4" name="Pictur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1" name="Picture 5"/>
                  <pic:cNvPicPr>
                    <a:picLocks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246" cy="666200"/>
                  </a:xfrm>
                  <a:prstGeom prst="rect">
                    <a:avLst/>
                  </a:prstGeom>
                  <a:noFill/>
                  <a:ln w="25400">
                    <a:noFill/>
                    <a:round/>
                    <a:headEnd/>
                    <a:tailEnd/>
                  </a:ln>
                  <a:effectLst>
                    <a:outerShdw dist="12700" dir="2700000" algn="ctr" rotWithShape="0">
                      <a:schemeClr val="bg2">
                        <a:alpha val="75000"/>
                      </a:schemeClr>
                    </a:outerShdw>
                  </a:effectLst>
                </pic:spPr>
              </pic:pic>
            </a:graphicData>
          </a:graphic>
        </wp:inline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4479"/>
    <w:multiLevelType w:val="hybridMultilevel"/>
    <w:tmpl w:val="23944324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">
    <w:nsid w:val="10D60312"/>
    <w:multiLevelType w:val="hybridMultilevel"/>
    <w:tmpl w:val="A6B87C8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2B6926F9"/>
    <w:multiLevelType w:val="hybridMultilevel"/>
    <w:tmpl w:val="147EA8D2"/>
    <w:lvl w:ilvl="0" w:tplc="9294D916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A82855"/>
    <w:multiLevelType w:val="hybridMultilevel"/>
    <w:tmpl w:val="2026AD0C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4">
    <w:nsid w:val="3DC01DCA"/>
    <w:multiLevelType w:val="hybridMultilevel"/>
    <w:tmpl w:val="0C8CBE9C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5">
    <w:nsid w:val="480079C4"/>
    <w:multiLevelType w:val="hybridMultilevel"/>
    <w:tmpl w:val="61EAA20E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6">
    <w:nsid w:val="5ED4406C"/>
    <w:multiLevelType w:val="hybridMultilevel"/>
    <w:tmpl w:val="603408B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5F370DF4"/>
    <w:multiLevelType w:val="hybridMultilevel"/>
    <w:tmpl w:val="0238A05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7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>
      <o:colormenu v:ext="edit" fillcolor="none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41F58"/>
    <w:rsid w:val="000F5D78"/>
    <w:rsid w:val="00143F88"/>
    <w:rsid w:val="001803E3"/>
    <w:rsid w:val="001B1229"/>
    <w:rsid w:val="001E3916"/>
    <w:rsid w:val="00225B3D"/>
    <w:rsid w:val="003923A3"/>
    <w:rsid w:val="003A5E81"/>
    <w:rsid w:val="00437818"/>
    <w:rsid w:val="00464F49"/>
    <w:rsid w:val="004A10A0"/>
    <w:rsid w:val="00503C18"/>
    <w:rsid w:val="00544AD2"/>
    <w:rsid w:val="00572603"/>
    <w:rsid w:val="00583FE3"/>
    <w:rsid w:val="005B24B1"/>
    <w:rsid w:val="00612215"/>
    <w:rsid w:val="00673F94"/>
    <w:rsid w:val="006D45A2"/>
    <w:rsid w:val="00705D24"/>
    <w:rsid w:val="00752F8C"/>
    <w:rsid w:val="007C1C01"/>
    <w:rsid w:val="007D5717"/>
    <w:rsid w:val="00811A17"/>
    <w:rsid w:val="008A026F"/>
    <w:rsid w:val="00945854"/>
    <w:rsid w:val="0098758F"/>
    <w:rsid w:val="00A1694F"/>
    <w:rsid w:val="00A41F58"/>
    <w:rsid w:val="00AC6A20"/>
    <w:rsid w:val="00B935BB"/>
    <w:rsid w:val="00BE7E64"/>
    <w:rsid w:val="00CB25E8"/>
    <w:rsid w:val="00D15B8D"/>
    <w:rsid w:val="00E810D6"/>
    <w:rsid w:val="00F3586E"/>
  </w:rsids>
  <m:mathPr>
    <m:mathFont m:val="Lucida Handwriting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0D6"/>
    <w:pPr>
      <w:spacing w:after="200"/>
    </w:pPr>
    <w:rPr>
      <w:rFonts w:ascii="Verdana" w:hAnsi="Verdana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10D6"/>
    <w:pPr>
      <w:keepNext/>
      <w:spacing w:before="240" w:after="60"/>
      <w:outlineLvl w:val="0"/>
    </w:pPr>
    <w:rPr>
      <w:b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810D6"/>
    <w:pPr>
      <w:keepNext/>
      <w:spacing w:before="240" w:after="60"/>
      <w:outlineLvl w:val="1"/>
    </w:pPr>
    <w:rPr>
      <w:b/>
      <w:i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810D6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16D7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16D7"/>
    <w:rPr>
      <w:rFonts w:asciiTheme="majorHAnsi" w:eastAsiaTheme="majorEastAsia" w:hAnsiTheme="majorHAnsi" w:cstheme="majorBidi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16D7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paragraph" w:styleId="Footer">
    <w:name w:val="footer"/>
    <w:basedOn w:val="Normal"/>
    <w:link w:val="FooterChar"/>
    <w:uiPriority w:val="99"/>
    <w:semiHidden/>
    <w:rsid w:val="00E810D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16D7"/>
    <w:rPr>
      <w:rFonts w:ascii="Verdana" w:hAnsi="Verdana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rsid w:val="00E810D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16D7"/>
    <w:rPr>
      <w:rFonts w:ascii="Verdana" w:hAnsi="Verdana"/>
      <w:sz w:val="24"/>
      <w:szCs w:val="24"/>
      <w:lang w:val="en-GB"/>
    </w:rPr>
  </w:style>
  <w:style w:type="paragraph" w:customStyle="1" w:styleId="CD-Know">
    <w:name w:val="CD-Know"/>
    <w:basedOn w:val="Normal"/>
    <w:uiPriority w:val="99"/>
    <w:rsid w:val="00E810D6"/>
    <w:pPr>
      <w:shd w:val="clear" w:color="auto" w:fill="FFFF00"/>
    </w:pPr>
    <w:rPr>
      <w:rFonts w:ascii="Times" w:hAnsi="Times"/>
      <w:b/>
      <w:sz w:val="28"/>
      <w:szCs w:val="20"/>
      <w:lang w:val="en-US"/>
    </w:rPr>
  </w:style>
  <w:style w:type="paragraph" w:customStyle="1" w:styleId="CD-Understand">
    <w:name w:val="CD-Understand"/>
    <w:basedOn w:val="Normal"/>
    <w:uiPriority w:val="99"/>
    <w:rsid w:val="00E810D6"/>
    <w:pPr>
      <w:shd w:val="clear" w:color="auto" w:fill="00FF00"/>
    </w:pPr>
    <w:rPr>
      <w:rFonts w:ascii="Times" w:hAnsi="Times"/>
      <w:b/>
      <w:sz w:val="28"/>
      <w:szCs w:val="20"/>
      <w:lang w:val="en-US"/>
    </w:rPr>
  </w:style>
  <w:style w:type="paragraph" w:customStyle="1" w:styleId="CD-Apply">
    <w:name w:val="CD-Apply"/>
    <w:basedOn w:val="Normal"/>
    <w:uiPriority w:val="99"/>
    <w:rsid w:val="00E810D6"/>
    <w:pPr>
      <w:shd w:val="clear" w:color="auto" w:fill="FF9900"/>
    </w:pPr>
    <w:rPr>
      <w:rFonts w:ascii="Times" w:hAnsi="Times"/>
      <w:b/>
      <w:sz w:val="28"/>
      <w:szCs w:val="20"/>
      <w:lang w:val="en-US"/>
    </w:rPr>
  </w:style>
  <w:style w:type="paragraph" w:customStyle="1" w:styleId="CD-Analyze">
    <w:name w:val="CD-Analyze"/>
    <w:basedOn w:val="Normal"/>
    <w:uiPriority w:val="99"/>
    <w:rsid w:val="00E810D6"/>
    <w:pPr>
      <w:shd w:val="clear" w:color="auto" w:fill="F985C7"/>
    </w:pPr>
    <w:rPr>
      <w:rFonts w:ascii="Times" w:hAnsi="Times"/>
      <w:b/>
      <w:sz w:val="28"/>
      <w:szCs w:val="20"/>
      <w:lang w:val="en-US"/>
    </w:rPr>
  </w:style>
  <w:style w:type="paragraph" w:customStyle="1" w:styleId="CD-Synthesize">
    <w:name w:val="CD-Synthesize"/>
    <w:basedOn w:val="Normal"/>
    <w:uiPriority w:val="99"/>
    <w:rsid w:val="00E810D6"/>
    <w:pPr>
      <w:shd w:val="clear" w:color="auto" w:fill="00CCFF"/>
    </w:pPr>
    <w:rPr>
      <w:rFonts w:ascii="Times" w:hAnsi="Times"/>
      <w:b/>
      <w:sz w:val="28"/>
      <w:szCs w:val="20"/>
      <w:lang w:val="en-US"/>
    </w:rPr>
  </w:style>
  <w:style w:type="paragraph" w:customStyle="1" w:styleId="CD-Evaluate">
    <w:name w:val="CD-Evaluate"/>
    <w:basedOn w:val="Normal"/>
    <w:uiPriority w:val="99"/>
    <w:rsid w:val="00E810D6"/>
    <w:pPr>
      <w:shd w:val="clear" w:color="auto" w:fill="A36ADC"/>
    </w:pPr>
    <w:rPr>
      <w:rFonts w:ascii="Times" w:hAnsi="Times"/>
      <w:b/>
      <w:sz w:val="28"/>
      <w:szCs w:val="20"/>
      <w:lang w:val="en-US"/>
    </w:rPr>
  </w:style>
  <w:style w:type="paragraph" w:customStyle="1" w:styleId="POMNotebookEntry">
    <w:name w:val="POM Notebook Entry"/>
    <w:basedOn w:val="Normal"/>
    <w:uiPriority w:val="99"/>
    <w:rsid w:val="00E810D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12" w:space="1" w:color="999999"/>
      </w:pBdr>
      <w:spacing w:line="360" w:lineRule="auto"/>
      <w:ind w:left="1440"/>
    </w:pPr>
    <w:rPr>
      <w:sz w:val="20"/>
      <w:szCs w:val="20"/>
      <w:lang w:val="en-US"/>
    </w:rPr>
  </w:style>
  <w:style w:type="table" w:customStyle="1" w:styleId="POMNotebookEntryTable">
    <w:name w:val="POM Notebook Entry Table"/>
    <w:uiPriority w:val="99"/>
    <w:rsid w:val="00E810D6"/>
    <w:rPr>
      <w:rFonts w:ascii="Lucida Handwriting" w:hAnsi="Lucida Handwriting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A41F5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99"/>
    <w:rsid w:val="00E810D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E810D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810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810D6"/>
    <w:rPr>
      <w:rFonts w:ascii="Verdana" w:hAnsi="Verdana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810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810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E810D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10D6"/>
    <w:rPr>
      <w:rFonts w:ascii="Tahoma" w:hAnsi="Tahoma" w:cs="Tahoma"/>
      <w:sz w:val="16"/>
      <w:szCs w:val="16"/>
      <w:lang w:val="en-GB"/>
    </w:rPr>
  </w:style>
  <w:style w:type="paragraph" w:customStyle="1" w:styleId="Default">
    <w:name w:val="Default"/>
    <w:uiPriority w:val="99"/>
    <w:rsid w:val="00E81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737</Words>
  <Characters>4205</Characters>
  <Application>Microsoft Macintosh Word</Application>
  <DocSecurity>0</DocSecurity>
  <Lines>35</Lines>
  <Paragraphs>8</Paragraphs>
  <ScaleCrop>false</ScaleCrop>
  <Company>Bellingham School District</Company>
  <LinksUpToDate>false</LinksUpToDate>
  <CharactersWithSpaces>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Environments</dc:title>
  <dc:subject/>
  <dc:creator>bsd501</dc:creator>
  <cp:keywords/>
  <dc:description/>
  <cp:lastModifiedBy>Office 2004 Test Drive User</cp:lastModifiedBy>
  <cp:revision>7</cp:revision>
  <cp:lastPrinted>2010-01-29T00:33:00Z</cp:lastPrinted>
  <dcterms:created xsi:type="dcterms:W3CDTF">2010-02-07T00:50:00Z</dcterms:created>
  <dcterms:modified xsi:type="dcterms:W3CDTF">2010-02-28T20:27:00Z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DocumentEventProcessedId">
    <vt:lpwstr>b7a08f9a-8524-41b5-a276-146fb494b4dd</vt:lpwstr>
  </property>
  <property fmtid="{D5CDD505-2E9C-101B-9397-08002B2CF9AE}" pid="3" name="LastObjectUpdateEventProcessedVersion">
    <vt:lpwstr>3.0</vt:lpwstr>
  </property>
  <property fmtid="{D5CDD505-2E9C-101B-9397-08002B2CF9AE}" pid="4" name="_SourceUrl">
    <vt:lpwstr/>
  </property>
  <property fmtid="{D5CDD505-2E9C-101B-9397-08002B2CF9AE}" pid="5" name="AutoVersionDisabled">
    <vt:lpwstr>0</vt:lpwstr>
  </property>
  <property fmtid="{D5CDD505-2E9C-101B-9397-08002B2CF9AE}" pid="6" name="ItemType">
    <vt:lpwstr>1</vt:lpwstr>
  </property>
  <property fmtid="{D5CDD505-2E9C-101B-9397-08002B2CF9AE}" pid="7" name="Order">
    <vt:lpwstr/>
  </property>
  <property fmtid="{D5CDD505-2E9C-101B-9397-08002B2CF9AE}" pid="8" name="MetaInfo">
    <vt:lpwstr/>
  </property>
  <property fmtid="{D5CDD505-2E9C-101B-9397-08002B2CF9AE}" pid="9" name="Description">
    <vt:lpwstr/>
  </property>
</Properties>
</file>